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F346" w14:textId="3E74CD3B" w:rsidR="00ED3CD7" w:rsidRDefault="00ED3CD7" w:rsidP="00303F16">
      <w:pPr>
        <w:jc w:val="center"/>
        <w:rPr>
          <w:rFonts w:cstheme="minorHAnsi"/>
          <w:b/>
          <w:color w:val="FFFFFF" w:themeColor="background1"/>
        </w:rPr>
      </w:pPr>
    </w:p>
    <w:p w14:paraId="6004A03F" w14:textId="77777777" w:rsidR="00852D44" w:rsidRPr="00A15720" w:rsidRDefault="00852D44" w:rsidP="00303F16">
      <w:pPr>
        <w:jc w:val="center"/>
        <w:rPr>
          <w:rFonts w:cstheme="minorHAnsi"/>
          <w:b/>
          <w:color w:val="FFFFFF" w:themeColor="background1"/>
        </w:rPr>
      </w:pPr>
    </w:p>
    <w:tbl>
      <w:tblPr>
        <w:tblW w:w="5304" w:type="pct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080"/>
        <w:gridCol w:w="2865"/>
        <w:gridCol w:w="1843"/>
        <w:gridCol w:w="2776"/>
      </w:tblGrid>
      <w:tr w:rsidR="00386B11" w:rsidRPr="00386B11" w14:paraId="692974B4" w14:textId="77777777" w:rsidTr="000F7DEC">
        <w:trPr>
          <w:cantSplit/>
          <w:trHeight w:val="496"/>
        </w:trPr>
        <w:tc>
          <w:tcPr>
            <w:tcW w:w="9564" w:type="dxa"/>
            <w:gridSpan w:val="4"/>
            <w:shd w:val="clear" w:color="auto" w:fill="225374"/>
            <w:vAlign w:val="center"/>
          </w:tcPr>
          <w:p w14:paraId="76D875BB" w14:textId="77777777" w:rsidR="00474BBD" w:rsidRPr="00E373E0" w:rsidRDefault="00474BBD" w:rsidP="00155F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73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JOB DESCRIPTION</w:t>
            </w:r>
          </w:p>
        </w:tc>
      </w:tr>
      <w:tr w:rsidR="00474BBD" w:rsidRPr="00A15720" w14:paraId="1E5A8F4C" w14:textId="77777777" w:rsidTr="000F7DEC">
        <w:tc>
          <w:tcPr>
            <w:tcW w:w="2080" w:type="dxa"/>
            <w:shd w:val="clear" w:color="auto" w:fill="225374"/>
          </w:tcPr>
          <w:p w14:paraId="766EFB46" w14:textId="77777777" w:rsidR="00474BBD" w:rsidRPr="00E373E0" w:rsidRDefault="00474BBD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373E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7484" w:type="dxa"/>
            <w:gridSpan w:val="3"/>
          </w:tcPr>
          <w:p w14:paraId="1AAA9D20" w14:textId="726F8D5D" w:rsidR="00474BBD" w:rsidRPr="00852D44" w:rsidRDefault="00E678AF" w:rsidP="00940BFD">
            <w:pPr>
              <w:rPr>
                <w:rFonts w:cstheme="minorHAnsi"/>
                <w:b/>
              </w:rPr>
            </w:pPr>
            <w:r w:rsidRPr="00ED021C">
              <w:rPr>
                <w:rFonts w:cstheme="minorHAnsi"/>
                <w:b/>
              </w:rPr>
              <w:t>Regional</w:t>
            </w:r>
            <w:r w:rsidR="0044763C" w:rsidRPr="00ED021C">
              <w:rPr>
                <w:rFonts w:cstheme="minorHAnsi"/>
                <w:b/>
              </w:rPr>
              <w:t xml:space="preserve"> Technical Assistance Manager</w:t>
            </w:r>
          </w:p>
        </w:tc>
      </w:tr>
      <w:tr w:rsidR="00474BBD" w:rsidRPr="00A15720" w14:paraId="35242418" w14:textId="77777777" w:rsidTr="00ED021C">
        <w:tc>
          <w:tcPr>
            <w:tcW w:w="2080" w:type="dxa"/>
            <w:shd w:val="clear" w:color="auto" w:fill="225374"/>
          </w:tcPr>
          <w:p w14:paraId="133812B4" w14:textId="77777777" w:rsidR="00474BBD" w:rsidRPr="00386B11" w:rsidRDefault="003D0BE9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784848460"/>
                <w:placeholder>
                  <w:docPart w:val="EC98CF49F0034C459CEAB780C5EE0A69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386B11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Location</w:t>
                </w:r>
              </w:sdtContent>
            </w:sdt>
            <w:r w:rsidR="00474BBD" w:rsidRPr="00386B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865" w:type="dxa"/>
            <w:shd w:val="clear" w:color="auto" w:fill="auto"/>
          </w:tcPr>
          <w:p w14:paraId="693250CA" w14:textId="43ECE188" w:rsidR="00474BBD" w:rsidRPr="00A15720" w:rsidRDefault="0006604F" w:rsidP="00940BFD">
            <w:pPr>
              <w:rPr>
                <w:rFonts w:cstheme="minorHAnsi"/>
              </w:rPr>
            </w:pPr>
            <w:r>
              <w:rPr>
                <w:rFonts w:cstheme="minorHAnsi"/>
              </w:rPr>
              <w:t>Nairobi</w:t>
            </w:r>
          </w:p>
        </w:tc>
        <w:tc>
          <w:tcPr>
            <w:tcW w:w="1843" w:type="dxa"/>
            <w:shd w:val="clear" w:color="auto" w:fill="225374"/>
          </w:tcPr>
          <w:p w14:paraId="4A524793" w14:textId="77777777" w:rsidR="00474BBD" w:rsidRPr="00386B11" w:rsidRDefault="003D0BE9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1223096936"/>
                <w:placeholder>
                  <w:docPart w:val="E96402D627814F448362429A2391684A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0F7DEC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Travel Required</w:t>
                </w:r>
              </w:sdtContent>
            </w:sdt>
            <w:r w:rsidR="00474BBD" w:rsidRPr="00386B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776" w:type="dxa"/>
            <w:shd w:val="clear" w:color="auto" w:fill="auto"/>
          </w:tcPr>
          <w:p w14:paraId="5190A559" w14:textId="5F4B77CF" w:rsidR="00474BBD" w:rsidRPr="00852D44" w:rsidRDefault="00852D44" w:rsidP="00940BFD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</w:t>
            </w:r>
          </w:p>
        </w:tc>
      </w:tr>
      <w:tr w:rsidR="00474BBD" w:rsidRPr="00A15720" w14:paraId="57A72C17" w14:textId="77777777" w:rsidTr="00ED021C">
        <w:tc>
          <w:tcPr>
            <w:tcW w:w="2080" w:type="dxa"/>
            <w:tcBorders>
              <w:bottom w:val="single" w:sz="4" w:space="0" w:color="000000"/>
            </w:tcBorders>
            <w:shd w:val="clear" w:color="auto" w:fill="225374"/>
          </w:tcPr>
          <w:p w14:paraId="4689819D" w14:textId="77777777" w:rsidR="00474BBD" w:rsidRPr="00386B11" w:rsidRDefault="00474BBD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86B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243E3629" w14:textId="07289F0B" w:rsidR="00474BBD" w:rsidRPr="00852D44" w:rsidRDefault="0044763C" w:rsidP="00940BFD">
            <w:pPr>
              <w:rPr>
                <w:rFonts w:cstheme="minorHAnsi"/>
              </w:rPr>
            </w:pPr>
            <w:r w:rsidRPr="00ED021C">
              <w:rPr>
                <w:rFonts w:cstheme="minorHAnsi"/>
              </w:rPr>
              <w:t>Head of Technical Assistance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225374"/>
          </w:tcPr>
          <w:p w14:paraId="01B0795F" w14:textId="77777777" w:rsidR="00474BBD" w:rsidRPr="00386B11" w:rsidRDefault="003D0BE9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538278110"/>
                <w:placeholder>
                  <w:docPart w:val="9D81113B42F749D394C8AADE2A24B07D"/>
                </w:placeholder>
                <w:showingPlcHdr/>
                <w15:appearance w15:val="hidden"/>
              </w:sdtPr>
              <w:sdtEndPr/>
              <w:sdtContent>
                <w:r w:rsidR="00474BBD" w:rsidRPr="00386B11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Position Type</w:t>
                </w:r>
              </w:sdtContent>
            </w:sdt>
            <w:r w:rsidR="00474BBD" w:rsidRPr="00386B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</w:rPr>
            <w:id w:val="861970474"/>
            <w:placeholder>
              <w:docPart w:val="1FEE9F67A7B0441BA60F549460E5918A"/>
            </w:placeholder>
            <w15:appearance w15:val="hidden"/>
          </w:sdtPr>
          <w:sdtEndPr/>
          <w:sdtContent>
            <w:tc>
              <w:tcPr>
                <w:tcW w:w="2776" w:type="dxa"/>
                <w:tcBorders>
                  <w:bottom w:val="single" w:sz="4" w:space="0" w:color="000000"/>
                </w:tcBorders>
              </w:tcPr>
              <w:p w14:paraId="6A2CE702" w14:textId="77777777" w:rsidR="00474BBD" w:rsidRPr="00A15720" w:rsidRDefault="00E373E0" w:rsidP="00940BF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Full time</w:t>
                </w:r>
              </w:p>
            </w:tc>
          </w:sdtContent>
        </w:sdt>
      </w:tr>
      <w:tr w:rsidR="00C318D8" w:rsidRPr="00386B11" w14:paraId="0124EB6B" w14:textId="77777777" w:rsidTr="000F7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225374"/>
          </w:tcPr>
          <w:p w14:paraId="23C96B45" w14:textId="01C438A6" w:rsidR="00C318D8" w:rsidRPr="00386B11" w:rsidRDefault="0044763C" w:rsidP="00C318D8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PIDG</w:t>
            </w:r>
            <w:r w:rsidR="00C318D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Overview</w:t>
            </w:r>
          </w:p>
        </w:tc>
      </w:tr>
      <w:tr w:rsidR="00C318D8" w:rsidRPr="00386B11" w14:paraId="0DE8C467" w14:textId="77777777" w:rsidTr="00394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9851640" w14:textId="77777777" w:rsidR="00F64568" w:rsidRDefault="00F64568" w:rsidP="0044763C">
            <w:pPr>
              <w:spacing w:after="0"/>
              <w:rPr>
                <w:rFonts w:eastAsiaTheme="majorEastAsia" w:cstheme="minorHAnsi"/>
                <w:sz w:val="20"/>
                <w:szCs w:val="20"/>
                <w:lang w:val="en-US" w:eastAsia="ja-JP"/>
              </w:rPr>
            </w:pPr>
          </w:p>
          <w:p w14:paraId="021B94A7" w14:textId="574660A9" w:rsidR="0044763C" w:rsidRDefault="0044763C" w:rsidP="0044763C">
            <w:pPr>
              <w:spacing w:after="0"/>
              <w:rPr>
                <w:rFonts w:eastAsiaTheme="majorEastAsia" w:cstheme="minorHAnsi"/>
                <w:sz w:val="20"/>
                <w:szCs w:val="20"/>
                <w:lang w:val="en-US" w:eastAsia="ja-JP"/>
              </w:rPr>
            </w:pP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The Private Infrastructure Development Group (PIDG) is an innovative infrastructure development and finance organisation delivering pioneering infrastructure in the poorest and most fragile countries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in Africa and South East Asia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.</w:t>
            </w:r>
            <w:r>
              <w:t xml:space="preserve">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Our purpose is to combat poverty through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promoting the construction of private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infrastructure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projects,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help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ing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economies grow and chang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ing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people’s lives. We provide leadership, development capability, funding and finance solutions across the project cycle to support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viable and resilient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infrastructure provision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, with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high development impact and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which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develops local capacity and capability.</w:t>
            </w:r>
          </w:p>
          <w:p w14:paraId="77226F01" w14:textId="77777777" w:rsidR="0044763C" w:rsidRDefault="0044763C" w:rsidP="0044763C">
            <w:pPr>
              <w:spacing w:after="0"/>
              <w:rPr>
                <w:rFonts w:eastAsiaTheme="majorEastAsia" w:cstheme="minorHAnsi"/>
                <w:sz w:val="20"/>
                <w:szCs w:val="20"/>
                <w:lang w:val="en-US" w:eastAsia="ja-JP"/>
              </w:rPr>
            </w:pPr>
          </w:p>
          <w:p w14:paraId="7F097D3C" w14:textId="40E2A484" w:rsidR="0044763C" w:rsidRPr="005434D3" w:rsidRDefault="0044763C" w:rsidP="0044763C">
            <w:pPr>
              <w:spacing w:after="0"/>
              <w:rPr>
                <w:rFonts w:eastAsiaTheme="majorEastAsia" w:cstheme="minorHAnsi"/>
                <w:sz w:val="20"/>
                <w:szCs w:val="20"/>
                <w:lang w:val="en-US" w:eastAsia="ja-JP"/>
              </w:rPr>
            </w:pP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Our vision is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the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enhanced provision of affordable and sustainable infrastructure services in low-income countries and fragile states 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across </w:t>
            </w:r>
            <w:proofErr w:type="gramStart"/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a number of</w:t>
            </w:r>
            <w:proofErr w:type="gramEnd"/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key sectors, including power, transportation, water, telecoms, affordable housing, and agri</w:t>
            </w:r>
            <w:r w:rsidR="001F4BB9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-</w:t>
            </w:r>
            <w:r w:rsidR="00F64568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infrastructure</w:t>
            </w:r>
            <w:r w:rsidR="001F4BB9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, leading to greater inclusion and poverty </w:t>
            </w:r>
            <w:r w:rsidR="00DB04A4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reduction</w:t>
            </w:r>
            <w:r w:rsidR="001F4BB9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.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Financing for these projects should be increasingly sourced through local capital and credit markets</w:t>
            </w:r>
            <w:r w:rsidR="001F4BB9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, 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building capacity</w:t>
            </w:r>
            <w:r w:rsidR="001F4BB9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>, expertise</w:t>
            </w:r>
            <w:r w:rsidRPr="005434D3">
              <w:rPr>
                <w:rFonts w:eastAsiaTheme="majorEastAsia" w:cstheme="minorHAnsi"/>
                <w:sz w:val="20"/>
                <w:szCs w:val="20"/>
                <w:lang w:val="en-US" w:eastAsia="ja-JP"/>
              </w:rPr>
              <w:t xml:space="preserve"> and resilience in frontier markets.</w:t>
            </w:r>
          </w:p>
          <w:p w14:paraId="2A167217" w14:textId="77777777" w:rsidR="0044763C" w:rsidRPr="005434D3" w:rsidRDefault="0044763C" w:rsidP="0044763C">
            <w:pPr>
              <w:spacing w:after="0"/>
              <w:rPr>
                <w:rFonts w:eastAsiaTheme="majorEastAsia" w:cstheme="minorHAnsi"/>
                <w:sz w:val="20"/>
                <w:szCs w:val="20"/>
                <w:lang w:val="en-US" w:eastAsia="ja-JP"/>
              </w:rPr>
            </w:pPr>
          </w:p>
          <w:p w14:paraId="3A23A99B" w14:textId="79832143" w:rsidR="0044763C" w:rsidRDefault="0044763C" w:rsidP="0044763C">
            <w:pPr>
              <w:pStyle w:val="Heading2"/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PIDG Technical Assistance (PIDG TA) </w:t>
            </w:r>
            <w:r w:rsidRPr="008D2CA1">
              <w:rPr>
                <w:rFonts w:asciiTheme="minorHAnsi" w:hAnsiTheme="minorHAnsi" w:cstheme="minorHAnsi"/>
                <w:b w:val="0"/>
                <w:szCs w:val="20"/>
              </w:rPr>
              <w:t xml:space="preserve">provides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technical assistance </w:t>
            </w:r>
            <w:r w:rsidR="001F4BB9">
              <w:rPr>
                <w:rFonts w:asciiTheme="minorHAnsi" w:hAnsiTheme="minorHAnsi" w:cstheme="minorHAnsi"/>
                <w:b w:val="0"/>
                <w:szCs w:val="20"/>
              </w:rPr>
              <w:t xml:space="preserve">grants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and viability gap</w:t>
            </w:r>
            <w:r w:rsidRPr="008D2CA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funding to PIDG Companies where needed </w:t>
            </w:r>
            <w:r w:rsidR="001F4BB9">
              <w:rPr>
                <w:rFonts w:asciiTheme="minorHAnsi" w:hAnsiTheme="minorHAnsi" w:cstheme="minorHAnsi"/>
                <w:b w:val="0"/>
                <w:szCs w:val="20"/>
              </w:rPr>
              <w:t xml:space="preserve">to support and enable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projects that they develop and finance. This funding may be utilised to meet a range of needs associated with </w:t>
            </w:r>
            <w:r w:rsidR="001F4BB9">
              <w:rPr>
                <w:rFonts w:asciiTheme="minorHAnsi" w:hAnsiTheme="minorHAnsi" w:cstheme="minorHAnsi"/>
                <w:b w:val="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infrastructure project development cycle including the assessment </w:t>
            </w:r>
            <w:r w:rsidR="001F4BB9">
              <w:rPr>
                <w:rFonts w:asciiTheme="minorHAnsi" w:hAnsiTheme="minorHAnsi" w:cstheme="minorHAnsi"/>
                <w:b w:val="0"/>
                <w:szCs w:val="20"/>
              </w:rPr>
              <w:t xml:space="preserve">and feasibility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of potential investment opportunities and building capacity of host country partners and local investors. In addition PIDG TA also may, on a selective basis, provide funding to external entities. </w:t>
            </w:r>
          </w:p>
          <w:p w14:paraId="052E8391" w14:textId="77777777" w:rsidR="0044763C" w:rsidRPr="008D2CA1" w:rsidRDefault="0044763C" w:rsidP="0044763C">
            <w:pPr>
              <w:pStyle w:val="Heading2"/>
              <w:rPr>
                <w:rFonts w:asciiTheme="minorHAnsi" w:hAnsiTheme="minorHAnsi" w:cstheme="minorHAnsi"/>
                <w:b w:val="0"/>
                <w:szCs w:val="20"/>
              </w:rPr>
            </w:pPr>
          </w:p>
          <w:p w14:paraId="29061578" w14:textId="77777777" w:rsidR="00C318D8" w:rsidRDefault="0044763C" w:rsidP="0044763C">
            <w:pPr>
              <w:pStyle w:val="Heading2"/>
              <w:rPr>
                <w:rFonts w:asciiTheme="minorHAnsi" w:hAnsiTheme="minorHAnsi" w:cstheme="minorHAnsi"/>
                <w:b w:val="0"/>
                <w:szCs w:val="20"/>
              </w:rPr>
            </w:pPr>
            <w:r w:rsidRPr="008D2CA1">
              <w:rPr>
                <w:rFonts w:asciiTheme="minorHAnsi" w:hAnsiTheme="minorHAnsi" w:cstheme="minorHAnsi"/>
                <w:b w:val="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PIDG TA</w:t>
            </w:r>
            <w:r w:rsidRPr="008D2CA1">
              <w:rPr>
                <w:rFonts w:asciiTheme="minorHAnsi" w:hAnsiTheme="minorHAnsi" w:cstheme="minorHAnsi"/>
                <w:b w:val="0"/>
                <w:szCs w:val="20"/>
              </w:rPr>
              <w:t xml:space="preserve"> team is currently composed of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three</w:t>
            </w:r>
            <w:r w:rsidRPr="008D2CA1">
              <w:rPr>
                <w:rFonts w:asciiTheme="minorHAnsi" w:hAnsiTheme="minorHAnsi" w:cstheme="minorHAnsi"/>
                <w:b w:val="0"/>
                <w:szCs w:val="20"/>
              </w:rPr>
              <w:t xml:space="preserve"> professionals and is expected to grow in the near te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rm as we expand our team in London, Nairobi and Singapore</w:t>
            </w:r>
            <w:r w:rsidRPr="008D2CA1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  <w:p w14:paraId="33DBAF81" w14:textId="3FB54ADF" w:rsidR="00DB04A4" w:rsidRPr="00386B11" w:rsidRDefault="00DB04A4" w:rsidP="0044763C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386B11" w:rsidRPr="00386B11" w14:paraId="70F94A4F" w14:textId="77777777" w:rsidTr="000F7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225374"/>
          </w:tcPr>
          <w:p w14:paraId="43536292" w14:textId="77777777" w:rsidR="00474BBD" w:rsidRPr="00386B11" w:rsidRDefault="00474BBD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86B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About the role</w:t>
            </w:r>
          </w:p>
        </w:tc>
      </w:tr>
      <w:tr w:rsidR="00474BBD" w:rsidRPr="00A15720" w14:paraId="1958EC41" w14:textId="77777777" w:rsidTr="00714A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A4BFA6" w14:textId="77777777" w:rsidR="00E373E0" w:rsidRDefault="00E373E0" w:rsidP="00940BFD">
            <w:pPr>
              <w:pStyle w:val="Heading2"/>
              <w:rPr>
                <w:rFonts w:asciiTheme="minorHAnsi" w:hAnsiTheme="minorHAnsi" w:cstheme="minorHAnsi"/>
                <w:b w:val="0"/>
              </w:rPr>
            </w:pPr>
          </w:p>
          <w:p w14:paraId="1958FC07" w14:textId="234617DD" w:rsidR="00E373E0" w:rsidRDefault="00646948" w:rsidP="00940BFD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</w:t>
            </w:r>
            <w:r w:rsidR="00E678AF" w:rsidRPr="00E678AF">
              <w:rPr>
                <w:rFonts w:asciiTheme="minorHAnsi" w:hAnsiTheme="minorHAnsi" w:cstheme="minorHAnsi"/>
                <w:b w:val="0"/>
              </w:rPr>
              <w:t xml:space="preserve">he </w:t>
            </w:r>
            <w:r w:rsidR="00E678AF">
              <w:rPr>
                <w:rFonts w:asciiTheme="minorHAnsi" w:hAnsiTheme="minorHAnsi" w:cstheme="minorHAnsi"/>
                <w:b w:val="0"/>
              </w:rPr>
              <w:t>Regional</w:t>
            </w:r>
            <w:r w:rsidR="0044763C">
              <w:rPr>
                <w:rFonts w:asciiTheme="minorHAnsi" w:hAnsiTheme="minorHAnsi" w:cstheme="minorHAnsi"/>
                <w:b w:val="0"/>
              </w:rPr>
              <w:t xml:space="preserve"> TA Manager</w:t>
            </w:r>
            <w:r w:rsidR="00E678AF" w:rsidRPr="00E678AF">
              <w:rPr>
                <w:rFonts w:asciiTheme="minorHAnsi" w:hAnsiTheme="minorHAnsi" w:cstheme="minorHAnsi"/>
                <w:b w:val="0"/>
              </w:rPr>
              <w:t xml:space="preserve"> is responsible for liaising with the management and staff of other PIDG companies</w:t>
            </w:r>
            <w:r w:rsidR="0044763C">
              <w:rPr>
                <w:rFonts w:asciiTheme="minorHAnsi" w:hAnsiTheme="minorHAnsi" w:cstheme="minorHAnsi"/>
                <w:b w:val="0"/>
              </w:rPr>
              <w:t xml:space="preserve"> active </w:t>
            </w:r>
            <w:r w:rsidR="007F47D0">
              <w:rPr>
                <w:rFonts w:asciiTheme="minorHAnsi" w:hAnsiTheme="minorHAnsi" w:cstheme="minorHAnsi"/>
                <w:b w:val="0"/>
              </w:rPr>
              <w:t xml:space="preserve">in </w:t>
            </w:r>
            <w:r w:rsidR="0006604F">
              <w:rPr>
                <w:rFonts w:asciiTheme="minorHAnsi" w:hAnsiTheme="minorHAnsi" w:cstheme="minorHAnsi"/>
                <w:b w:val="0"/>
              </w:rPr>
              <w:t>Africa</w:t>
            </w:r>
            <w:r w:rsidR="007F47D0">
              <w:rPr>
                <w:rFonts w:asciiTheme="minorHAnsi" w:hAnsiTheme="minorHAnsi" w:cstheme="minorHAnsi"/>
                <w:b w:val="0"/>
              </w:rPr>
              <w:t xml:space="preserve"> </w:t>
            </w:r>
            <w:r w:rsidR="0044763C">
              <w:rPr>
                <w:rFonts w:asciiTheme="minorHAnsi" w:hAnsiTheme="minorHAnsi" w:cstheme="minorHAnsi"/>
                <w:b w:val="0"/>
              </w:rPr>
              <w:t>and interfacing with the London TA team</w:t>
            </w:r>
            <w:r w:rsidR="007F47D0">
              <w:rPr>
                <w:rFonts w:asciiTheme="minorHAnsi" w:hAnsiTheme="minorHAnsi" w:cstheme="minorHAnsi"/>
                <w:b w:val="0"/>
              </w:rPr>
              <w:t xml:space="preserve">, driving business development </w:t>
            </w:r>
            <w:r w:rsidR="00E678AF" w:rsidRPr="00E678AF">
              <w:rPr>
                <w:rFonts w:asciiTheme="minorHAnsi" w:hAnsiTheme="minorHAnsi" w:cstheme="minorHAnsi"/>
                <w:b w:val="0"/>
              </w:rPr>
              <w:t xml:space="preserve">and providing advice on the implementing </w:t>
            </w:r>
            <w:r w:rsidR="00AB1B63">
              <w:rPr>
                <w:rFonts w:asciiTheme="minorHAnsi" w:hAnsiTheme="minorHAnsi" w:cstheme="minorHAnsi"/>
                <w:b w:val="0"/>
              </w:rPr>
              <w:t xml:space="preserve">PIDG </w:t>
            </w:r>
            <w:r w:rsidR="00E678AF" w:rsidRPr="00E678AF">
              <w:rPr>
                <w:rFonts w:asciiTheme="minorHAnsi" w:hAnsiTheme="minorHAnsi" w:cstheme="minorHAnsi"/>
                <w:b w:val="0"/>
              </w:rPr>
              <w:t xml:space="preserve">TA’s technical assistance activities within </w:t>
            </w:r>
            <w:r w:rsidR="0044763C">
              <w:rPr>
                <w:rFonts w:asciiTheme="minorHAnsi" w:hAnsiTheme="minorHAnsi" w:cstheme="minorHAnsi"/>
                <w:b w:val="0"/>
              </w:rPr>
              <w:t>the region</w:t>
            </w:r>
            <w:r w:rsidR="00E678AF" w:rsidRPr="00E678AF">
              <w:rPr>
                <w:rFonts w:asciiTheme="minorHAnsi" w:hAnsiTheme="minorHAnsi" w:cstheme="minorHAnsi"/>
                <w:b w:val="0"/>
              </w:rPr>
              <w:t>.</w:t>
            </w:r>
          </w:p>
          <w:p w14:paraId="05C95F47" w14:textId="77777777" w:rsidR="00E678AF" w:rsidRPr="00E373E0" w:rsidRDefault="00E678AF" w:rsidP="00940BFD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86B11" w:rsidRPr="00386B11" w14:paraId="6A3B23CE" w14:textId="77777777" w:rsidTr="000F7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225374"/>
          </w:tcPr>
          <w:p w14:paraId="036C3BB4" w14:textId="77777777" w:rsidR="00474BBD" w:rsidRPr="00E373E0" w:rsidRDefault="003D0BE9" w:rsidP="00940BFD">
            <w:pPr>
              <w:pStyle w:val="Heading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FFFFFF" w:themeColor="background1"/>
                  <w:sz w:val="22"/>
                  <w:szCs w:val="22"/>
                </w:rPr>
                <w:id w:val="775449109"/>
                <w:placeholder>
                  <w:docPart w:val="9EFD97E5D09C4F8597FDE9B3DA6763AF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E373E0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Job Description</w:t>
                </w:r>
              </w:sdtContent>
            </w:sdt>
          </w:p>
        </w:tc>
      </w:tr>
      <w:tr w:rsidR="00155FEA" w:rsidRPr="00386B11" w14:paraId="0C33BBA7" w14:textId="77777777" w:rsidTr="00155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</w:tcPr>
          <w:p w14:paraId="79D9979C" w14:textId="77777777" w:rsidR="00155FEA" w:rsidRPr="00BE4ADB" w:rsidRDefault="00155FEA" w:rsidP="00BE4ADB">
            <w:pPr>
              <w:pStyle w:val="Heading2"/>
              <w:spacing w:before="0" w:after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2B9A2C97" w14:textId="77777777" w:rsidR="00155FEA" w:rsidRPr="000F7DEC" w:rsidRDefault="00155FEA" w:rsidP="00BE4ADB">
            <w:pPr>
              <w:pStyle w:val="Heading1"/>
              <w:spacing w:before="0" w:after="0"/>
              <w:rPr>
                <w:rFonts w:asciiTheme="minorHAnsi" w:hAnsiTheme="minorHAnsi" w:cstheme="minorHAnsi"/>
                <w:color w:val="212B4C"/>
                <w:szCs w:val="22"/>
              </w:rPr>
            </w:pPr>
            <w:r w:rsidRPr="000F7DEC">
              <w:rPr>
                <w:rFonts w:asciiTheme="minorHAnsi" w:hAnsiTheme="minorHAnsi" w:cstheme="minorHAnsi"/>
                <w:color w:val="212B4C"/>
                <w:szCs w:val="22"/>
              </w:rPr>
              <w:t>ROLE AND RESPONSIBILITIES</w:t>
            </w:r>
          </w:p>
          <w:p w14:paraId="54AD6C81" w14:textId="77777777" w:rsidR="00B62436" w:rsidRPr="004C0C90" w:rsidRDefault="001531C2" w:rsidP="00B62436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General Responsibilities</w:t>
            </w:r>
          </w:p>
          <w:p w14:paraId="1C286DED" w14:textId="6DAD712A" w:rsidR="00B62436" w:rsidRPr="0058208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t xml:space="preserve">Provide advice to the </w:t>
            </w:r>
            <w:r w:rsidR="0044763C" w:rsidRPr="0044763C">
              <w:rPr>
                <w:rFonts w:cstheme="minorHAnsi"/>
                <w:sz w:val="20"/>
                <w:szCs w:val="20"/>
              </w:rPr>
              <w:t>PIDG TA team</w:t>
            </w:r>
            <w:r w:rsidRPr="00582086">
              <w:rPr>
                <w:sz w:val="20"/>
                <w:szCs w:val="20"/>
              </w:rPr>
              <w:t xml:space="preserve"> on the allocation of </w:t>
            </w:r>
            <w:r w:rsidR="00AB1B63">
              <w:rPr>
                <w:sz w:val="20"/>
                <w:szCs w:val="20"/>
              </w:rPr>
              <w:t xml:space="preserve">PIDG </w:t>
            </w:r>
            <w:r w:rsidRPr="00582086">
              <w:rPr>
                <w:sz w:val="20"/>
                <w:szCs w:val="20"/>
              </w:rPr>
              <w:t xml:space="preserve">TA resources and the implementation of </w:t>
            </w:r>
            <w:r w:rsidR="00AB1B63">
              <w:rPr>
                <w:sz w:val="20"/>
                <w:szCs w:val="20"/>
              </w:rPr>
              <w:t xml:space="preserve">PIDG </w:t>
            </w:r>
            <w:r w:rsidRPr="00582086">
              <w:rPr>
                <w:sz w:val="20"/>
                <w:szCs w:val="20"/>
              </w:rPr>
              <w:t xml:space="preserve">TA’s technical assistance activities </w:t>
            </w:r>
            <w:r w:rsidR="004973A3">
              <w:rPr>
                <w:sz w:val="20"/>
                <w:szCs w:val="20"/>
              </w:rPr>
              <w:t xml:space="preserve">in the region, </w:t>
            </w:r>
            <w:r w:rsidRPr="00582086">
              <w:rPr>
                <w:sz w:val="20"/>
                <w:szCs w:val="20"/>
              </w:rPr>
              <w:t xml:space="preserve">with a strong emphasis </w:t>
            </w:r>
            <w:r>
              <w:rPr>
                <w:sz w:val="20"/>
                <w:szCs w:val="20"/>
              </w:rPr>
              <w:t>on development outcomes.</w:t>
            </w:r>
          </w:p>
          <w:p w14:paraId="560DE780" w14:textId="3505600B" w:rsidR="00B62436" w:rsidRPr="0058208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t>Evaluate specific grant funding proposals from PIDG companies to ensure that they appropriately support private participation in infrastructure in terms of legal, regulatory, policy, economic and/or financial implications</w:t>
            </w:r>
            <w:r w:rsidR="0044763C">
              <w:rPr>
                <w:sz w:val="20"/>
                <w:szCs w:val="20"/>
              </w:rPr>
              <w:t xml:space="preserve"> and development impact.</w:t>
            </w:r>
          </w:p>
          <w:p w14:paraId="6E77017F" w14:textId="1DC89915" w:rsidR="00B62436" w:rsidRPr="0058208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lastRenderedPageBreak/>
              <w:t xml:space="preserve">Provide technical advice during reviews of the regional portfolios of on-going </w:t>
            </w:r>
            <w:r w:rsidR="00AB1B63">
              <w:rPr>
                <w:sz w:val="20"/>
                <w:szCs w:val="20"/>
              </w:rPr>
              <w:t xml:space="preserve">PIDG </w:t>
            </w:r>
            <w:r w:rsidRPr="00582086">
              <w:rPr>
                <w:sz w:val="20"/>
                <w:szCs w:val="20"/>
              </w:rPr>
              <w:t>TA projects, regarding activities to be continued, extended or terminated.</w:t>
            </w:r>
          </w:p>
          <w:p w14:paraId="668169D5" w14:textId="20B60889" w:rsidR="00B62436" w:rsidRPr="0058208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t>Monitor the grant pipelines of</w:t>
            </w:r>
            <w:r w:rsidR="00AB1B63">
              <w:rPr>
                <w:sz w:val="20"/>
                <w:szCs w:val="20"/>
              </w:rPr>
              <w:t xml:space="preserve"> PIDG</w:t>
            </w:r>
            <w:r w:rsidRPr="00582086">
              <w:rPr>
                <w:sz w:val="20"/>
                <w:szCs w:val="20"/>
              </w:rPr>
              <w:t xml:space="preserve"> TA companies working in </w:t>
            </w:r>
            <w:r w:rsidR="0044763C">
              <w:rPr>
                <w:sz w:val="20"/>
                <w:szCs w:val="20"/>
              </w:rPr>
              <w:t>the region</w:t>
            </w:r>
            <w:r w:rsidRPr="00582086">
              <w:rPr>
                <w:sz w:val="20"/>
                <w:szCs w:val="20"/>
              </w:rPr>
              <w:t>.</w:t>
            </w:r>
          </w:p>
          <w:p w14:paraId="0DC60499" w14:textId="7B6DEB46" w:rsidR="00B62436" w:rsidRPr="0058208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t xml:space="preserve">Advise on the management of </w:t>
            </w:r>
            <w:r w:rsidR="00AB1B63">
              <w:rPr>
                <w:sz w:val="20"/>
                <w:szCs w:val="20"/>
              </w:rPr>
              <w:t xml:space="preserve">PIDG </w:t>
            </w:r>
            <w:r w:rsidRPr="00582086">
              <w:rPr>
                <w:sz w:val="20"/>
                <w:szCs w:val="20"/>
              </w:rPr>
              <w:t>TA’s other activity areas (programmatic activities, strategic partnerships, cross-cutting add-ons, embedded advisers) from a</w:t>
            </w:r>
            <w:r w:rsidR="0044763C">
              <w:rPr>
                <w:sz w:val="20"/>
                <w:szCs w:val="20"/>
              </w:rPr>
              <w:t xml:space="preserve"> regional </w:t>
            </w:r>
            <w:r w:rsidRPr="00582086">
              <w:rPr>
                <w:sz w:val="20"/>
                <w:szCs w:val="20"/>
              </w:rPr>
              <w:t>perspective</w:t>
            </w:r>
            <w:r w:rsidR="0044763C">
              <w:rPr>
                <w:sz w:val="20"/>
                <w:szCs w:val="20"/>
              </w:rPr>
              <w:t>.</w:t>
            </w:r>
          </w:p>
          <w:p w14:paraId="00AB0A7F" w14:textId="23505BF4" w:rsidR="00B6243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582086">
              <w:rPr>
                <w:sz w:val="20"/>
                <w:szCs w:val="20"/>
              </w:rPr>
              <w:t xml:space="preserve">Track funding and implementation of these activities in </w:t>
            </w:r>
            <w:r w:rsidR="0044763C">
              <w:rPr>
                <w:sz w:val="20"/>
                <w:szCs w:val="20"/>
              </w:rPr>
              <w:t>the region</w:t>
            </w:r>
            <w:r>
              <w:rPr>
                <w:sz w:val="20"/>
                <w:szCs w:val="20"/>
              </w:rPr>
              <w:t>.</w:t>
            </w:r>
          </w:p>
          <w:p w14:paraId="5CE4591C" w14:textId="369FED9E" w:rsidR="007F31BB" w:rsidRDefault="007F31BB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with regular reporting of the PIDG TA </w:t>
            </w:r>
            <w:r w:rsidR="004973A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eam.</w:t>
            </w:r>
          </w:p>
          <w:p w14:paraId="553DF167" w14:textId="306B9DFE" w:rsidR="004542D4" w:rsidRDefault="004542D4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the PIDG TA team in </w:t>
            </w:r>
            <w:r w:rsidR="006F5FFC">
              <w:rPr>
                <w:sz w:val="20"/>
                <w:szCs w:val="20"/>
              </w:rPr>
              <w:t xml:space="preserve">drafting requests for proposals and reviewing </w:t>
            </w:r>
            <w:r w:rsidR="004973A3">
              <w:rPr>
                <w:sz w:val="20"/>
                <w:szCs w:val="20"/>
              </w:rPr>
              <w:t>outputs</w:t>
            </w:r>
            <w:r w:rsidR="006F5FFC">
              <w:rPr>
                <w:sz w:val="20"/>
                <w:szCs w:val="20"/>
              </w:rPr>
              <w:t>.</w:t>
            </w:r>
          </w:p>
          <w:p w14:paraId="5144E469" w14:textId="68E7C3C9" w:rsidR="0044763C" w:rsidRPr="00582086" w:rsidRDefault="0044763C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site visits to PIDG projects that are utilising PIDG TA funding.</w:t>
            </w:r>
          </w:p>
          <w:p w14:paraId="3CBE645B" w14:textId="77777777" w:rsidR="00B62436" w:rsidRPr="004C0C90" w:rsidRDefault="00B62436" w:rsidP="00B62436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 with PIDG Companies</w:t>
            </w:r>
            <w:r w:rsidRPr="004C0C9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F1CD611" w14:textId="21E4FD0D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 xml:space="preserve">Assist the </w:t>
            </w:r>
            <w:r w:rsidR="007F31BB">
              <w:rPr>
                <w:sz w:val="20"/>
                <w:szCs w:val="20"/>
              </w:rPr>
              <w:t>PIDG TA team</w:t>
            </w:r>
            <w:r w:rsidRPr="000E1AFB">
              <w:rPr>
                <w:sz w:val="20"/>
                <w:szCs w:val="20"/>
              </w:rPr>
              <w:t xml:space="preserve"> in liaising with the management and staff of other PIDG companies</w:t>
            </w:r>
            <w:r w:rsidR="00497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active in </w:t>
            </w:r>
            <w:r w:rsidR="007F31BB">
              <w:rPr>
                <w:sz w:val="20"/>
                <w:szCs w:val="20"/>
              </w:rPr>
              <w:t>the region</w:t>
            </w:r>
            <w:r>
              <w:rPr>
                <w:sz w:val="20"/>
                <w:szCs w:val="20"/>
              </w:rPr>
              <w:t>.</w:t>
            </w:r>
          </w:p>
          <w:p w14:paraId="404D3BC4" w14:textId="68CC9EB5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 xml:space="preserve">Proactively assist and advise managers and staff of other PIDG companies </w:t>
            </w:r>
            <w:r w:rsidR="004973A3">
              <w:rPr>
                <w:sz w:val="20"/>
                <w:szCs w:val="20"/>
              </w:rPr>
              <w:t>on</w:t>
            </w:r>
            <w:r w:rsidR="004973A3" w:rsidRPr="000E1AFB">
              <w:rPr>
                <w:sz w:val="20"/>
                <w:szCs w:val="20"/>
              </w:rPr>
              <w:t xml:space="preserve"> </w:t>
            </w:r>
            <w:r w:rsidRPr="000E1AFB">
              <w:rPr>
                <w:sz w:val="20"/>
                <w:szCs w:val="20"/>
              </w:rPr>
              <w:t>their need for grant funding in support of projects.</w:t>
            </w:r>
          </w:p>
          <w:p w14:paraId="6DFAB620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 xml:space="preserve">Advise on special requests for assistance from </w:t>
            </w:r>
            <w:r>
              <w:rPr>
                <w:sz w:val="20"/>
                <w:szCs w:val="20"/>
              </w:rPr>
              <w:t xml:space="preserve">PIDG </w:t>
            </w:r>
            <w:r w:rsidRPr="000E1AFB">
              <w:rPr>
                <w:sz w:val="20"/>
                <w:szCs w:val="20"/>
              </w:rPr>
              <w:t>company managers and staff.</w:t>
            </w:r>
          </w:p>
          <w:p w14:paraId="4629E75B" w14:textId="0CF16E6F" w:rsidR="00B62436" w:rsidRDefault="007F31BB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PIDG </w:t>
            </w:r>
            <w:r w:rsidR="00B62436" w:rsidRPr="000E1AFB">
              <w:rPr>
                <w:sz w:val="20"/>
                <w:szCs w:val="20"/>
              </w:rPr>
              <w:t xml:space="preserve">companies </w:t>
            </w:r>
            <w:r w:rsidR="008A6B64">
              <w:rPr>
                <w:sz w:val="20"/>
                <w:szCs w:val="20"/>
              </w:rPr>
              <w:t>with the preparation of</w:t>
            </w:r>
            <w:r w:rsidR="004973A3" w:rsidRPr="000E1AFB">
              <w:rPr>
                <w:sz w:val="20"/>
                <w:szCs w:val="20"/>
              </w:rPr>
              <w:t xml:space="preserve"> </w:t>
            </w:r>
            <w:r w:rsidR="004973A3">
              <w:rPr>
                <w:sz w:val="20"/>
                <w:szCs w:val="20"/>
              </w:rPr>
              <w:t xml:space="preserve">grant </w:t>
            </w:r>
            <w:r w:rsidR="00B62436" w:rsidRPr="000E1AFB">
              <w:rPr>
                <w:sz w:val="20"/>
                <w:szCs w:val="20"/>
              </w:rPr>
              <w:t xml:space="preserve">application </w:t>
            </w:r>
            <w:r>
              <w:rPr>
                <w:sz w:val="20"/>
                <w:szCs w:val="20"/>
              </w:rPr>
              <w:t>submission</w:t>
            </w:r>
            <w:r w:rsidR="004973A3">
              <w:rPr>
                <w:sz w:val="20"/>
                <w:szCs w:val="20"/>
              </w:rPr>
              <w:t>s</w:t>
            </w:r>
            <w:r w:rsidR="00B62436" w:rsidRPr="000E1AFB">
              <w:rPr>
                <w:sz w:val="20"/>
                <w:szCs w:val="20"/>
              </w:rPr>
              <w:t>.</w:t>
            </w:r>
          </w:p>
          <w:p w14:paraId="5B03BD68" w14:textId="0B758535" w:rsidR="00D858C5" w:rsidRPr="00D858C5" w:rsidRDefault="00D858C5" w:rsidP="00D858C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7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B1607">
              <w:rPr>
                <w:sz w:val="20"/>
                <w:szCs w:val="20"/>
              </w:rPr>
              <w:t xml:space="preserve">ork with </w:t>
            </w:r>
            <w:r>
              <w:rPr>
                <w:sz w:val="20"/>
                <w:szCs w:val="20"/>
              </w:rPr>
              <w:t xml:space="preserve">PIDG companies </w:t>
            </w:r>
            <w:r w:rsidRPr="007B1607">
              <w:rPr>
                <w:sz w:val="20"/>
                <w:szCs w:val="20"/>
              </w:rPr>
              <w:t>to identify and quantify wherever possible the wider development impacts of its activities.</w:t>
            </w:r>
          </w:p>
          <w:p w14:paraId="509D601B" w14:textId="16954014" w:rsidR="00B62436" w:rsidRPr="000E1AFB" w:rsidRDefault="007F31BB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  <w:r w:rsidR="00B62436" w:rsidRPr="000E1A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PIDG TA team </w:t>
            </w:r>
            <w:r w:rsidR="00B62436" w:rsidRPr="000E1AFB">
              <w:rPr>
                <w:sz w:val="20"/>
                <w:szCs w:val="20"/>
              </w:rPr>
              <w:t xml:space="preserve">on communication with the companies regarding delayed or non-performing activities, activity extensions, etc. </w:t>
            </w:r>
            <w:r w:rsidR="00B62436" w:rsidRPr="000E1AFB" w:rsidDel="008D6EC7">
              <w:rPr>
                <w:sz w:val="20"/>
                <w:szCs w:val="20"/>
              </w:rPr>
              <w:t xml:space="preserve"> </w:t>
            </w:r>
          </w:p>
          <w:p w14:paraId="407CC1AD" w14:textId="77777777" w:rsidR="00B62436" w:rsidRPr="00DE6C78" w:rsidRDefault="00B62436" w:rsidP="00B62436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6C78">
              <w:rPr>
                <w:rFonts w:cstheme="minorHAnsi"/>
                <w:b/>
                <w:sz w:val="20"/>
                <w:szCs w:val="20"/>
              </w:rPr>
              <w:t xml:space="preserve">Public Relations, Marketing &amp; Communications </w:t>
            </w:r>
          </w:p>
          <w:p w14:paraId="0D1EE9D6" w14:textId="47C9B992" w:rsidR="00B62436" w:rsidRPr="000E1AFB" w:rsidRDefault="004973A3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with the promotion of</w:t>
            </w:r>
            <w:r w:rsidR="00B62436" w:rsidRPr="000E1AFB">
              <w:rPr>
                <w:sz w:val="20"/>
                <w:szCs w:val="20"/>
              </w:rPr>
              <w:t xml:space="preserve"> strong strategic and operational partnerships with developing country governments, private sector representatives, civil society groups and the wider development community, including bilateral donors and multilateral development banks.</w:t>
            </w:r>
          </w:p>
          <w:p w14:paraId="75FD5E00" w14:textId="07A6A61D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 xml:space="preserve">Assist </w:t>
            </w:r>
            <w:r>
              <w:rPr>
                <w:sz w:val="20"/>
                <w:szCs w:val="20"/>
              </w:rPr>
              <w:t xml:space="preserve">the </w:t>
            </w:r>
            <w:r w:rsidR="007F31BB">
              <w:rPr>
                <w:sz w:val="20"/>
                <w:szCs w:val="20"/>
              </w:rPr>
              <w:t>PIDG TA team</w:t>
            </w:r>
            <w:r w:rsidRPr="000E1AFB">
              <w:rPr>
                <w:sz w:val="20"/>
                <w:szCs w:val="20"/>
              </w:rPr>
              <w:t xml:space="preserve"> in working closely with other multi-donor trust funds and development banks active in the African infrastructure space.</w:t>
            </w:r>
          </w:p>
          <w:p w14:paraId="140C2D19" w14:textId="1F3F6421" w:rsidR="00B6243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>As needed, serve as an effective spokesperson and advocate for the opportunities and challenges of public-private partnerships and private investment in infrastructure in the international development community.</w:t>
            </w:r>
          </w:p>
          <w:p w14:paraId="5DF1054D" w14:textId="1526E273" w:rsidR="007F31BB" w:rsidRDefault="007F31BB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with the development of the PIDG Annual Review.</w:t>
            </w:r>
          </w:p>
          <w:p w14:paraId="322ADEBE" w14:textId="77777777" w:rsidR="00B62436" w:rsidRPr="000E1AFB" w:rsidRDefault="00B62436" w:rsidP="00B62436">
            <w:pPr>
              <w:spacing w:after="0" w:line="240" w:lineRule="auto"/>
              <w:ind w:left="573"/>
              <w:rPr>
                <w:sz w:val="20"/>
                <w:szCs w:val="20"/>
              </w:rPr>
            </w:pPr>
          </w:p>
          <w:p w14:paraId="31AFDD84" w14:textId="77777777" w:rsidR="00B62436" w:rsidRPr="000D645D" w:rsidRDefault="00B62436" w:rsidP="00B62436">
            <w:pPr>
              <w:spacing w:line="240" w:lineRule="auto"/>
              <w:rPr>
                <w:b/>
                <w:sz w:val="20"/>
                <w:szCs w:val="20"/>
              </w:rPr>
            </w:pPr>
            <w:r w:rsidRPr="000D645D">
              <w:rPr>
                <w:b/>
                <w:sz w:val="20"/>
                <w:szCs w:val="20"/>
              </w:rPr>
              <w:t>Risk Management</w:t>
            </w:r>
          </w:p>
          <w:p w14:paraId="42D1D729" w14:textId="44C1C8B4" w:rsidR="00B62436" w:rsidRPr="004233E6" w:rsidRDefault="00B62436" w:rsidP="00B62436">
            <w:pPr>
              <w:pStyle w:val="ListParagraph"/>
              <w:numPr>
                <w:ilvl w:val="0"/>
                <w:numId w:val="20"/>
              </w:numPr>
              <w:spacing w:before="240" w:after="120" w:line="240" w:lineRule="auto"/>
              <w:ind w:left="573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Work </w:t>
            </w:r>
            <w:r w:rsidRPr="000D645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with the </w:t>
            </w:r>
            <w:r w:rsidR="00D858C5">
              <w:rPr>
                <w:rFonts w:asciiTheme="minorHAnsi" w:eastAsiaTheme="minorHAnsi" w:hAnsiTheme="minorHAnsi" w:cstheme="minorBidi"/>
                <w:sz w:val="20"/>
                <w:szCs w:val="20"/>
              </w:rPr>
              <w:t>regional representatives for Risk and</w:t>
            </w:r>
            <w:r w:rsidRPr="000D645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Health, Safety, Environment and Social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(HSES</w:t>
            </w:r>
            <w:r w:rsidR="00D858C5">
              <w:rPr>
                <w:rFonts w:asciiTheme="minorHAnsi" w:eastAsiaTheme="minorHAnsi" w:hAnsiTheme="minorHAnsi" w:cstheme="minorBidi"/>
                <w:sz w:val="20"/>
                <w:szCs w:val="20"/>
              </w:rPr>
              <w:t>) to ensure that</w:t>
            </w:r>
            <w:r w:rsidRPr="004233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46B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PIDG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TA</w:t>
            </w:r>
            <w:r w:rsidRPr="004233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abides by the PIDG risk management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and HSES </w:t>
            </w:r>
            <w:r w:rsidRPr="004233E6">
              <w:rPr>
                <w:rFonts w:asciiTheme="minorHAnsi" w:eastAsiaTheme="minorHAnsi" w:hAnsiTheme="minorHAnsi" w:cstheme="minorBidi"/>
                <w:sz w:val="20"/>
                <w:szCs w:val="20"/>
              </w:rPr>
              <w:t>polic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ies and procedures. </w:t>
            </w:r>
          </w:p>
          <w:p w14:paraId="0738214E" w14:textId="38252E56" w:rsidR="00B62436" w:rsidRPr="00DE6C78" w:rsidRDefault="00B62436" w:rsidP="00B62436">
            <w:pPr>
              <w:pStyle w:val="ListParagraph"/>
              <w:numPr>
                <w:ilvl w:val="0"/>
                <w:numId w:val="20"/>
              </w:numPr>
              <w:ind w:left="573" w:hanging="284"/>
              <w:rPr>
                <w:rFonts w:cstheme="minorHAnsi"/>
                <w:sz w:val="20"/>
                <w:szCs w:val="20"/>
              </w:rPr>
            </w:pPr>
            <w:r w:rsidRPr="004233E6">
              <w:rPr>
                <w:rFonts w:cstheme="minorHAnsi"/>
                <w:sz w:val="20"/>
                <w:szCs w:val="20"/>
              </w:rPr>
              <w:t xml:space="preserve">Ensure compliance by </w:t>
            </w:r>
            <w:r w:rsidR="00346BDB">
              <w:rPr>
                <w:rFonts w:cstheme="minorHAnsi"/>
                <w:sz w:val="20"/>
                <w:szCs w:val="20"/>
              </w:rPr>
              <w:t xml:space="preserve">PIDG </w:t>
            </w:r>
            <w:r>
              <w:rPr>
                <w:rFonts w:cstheme="minorHAnsi"/>
                <w:sz w:val="20"/>
                <w:szCs w:val="20"/>
              </w:rPr>
              <w:t>TA</w:t>
            </w:r>
            <w:r w:rsidRPr="004233E6">
              <w:rPr>
                <w:rFonts w:cstheme="minorHAnsi"/>
                <w:sz w:val="20"/>
                <w:szCs w:val="20"/>
              </w:rPr>
              <w:t xml:space="preserve"> with the PIDG OPPS and PIDG Code of Conduct.</w:t>
            </w:r>
          </w:p>
          <w:p w14:paraId="0F6265E9" w14:textId="77777777" w:rsidR="00B62436" w:rsidRPr="00A40921" w:rsidRDefault="00B62436" w:rsidP="00B62436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 Development and Management</w:t>
            </w:r>
          </w:p>
          <w:p w14:paraId="4CEC5471" w14:textId="69972208" w:rsidR="00B6243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</w:t>
            </w:r>
            <w:r w:rsidRPr="00265199">
              <w:rPr>
                <w:sz w:val="20"/>
                <w:szCs w:val="20"/>
              </w:rPr>
              <w:t xml:space="preserve"> enable </w:t>
            </w:r>
            <w:r w:rsidR="00346BDB">
              <w:rPr>
                <w:sz w:val="20"/>
                <w:szCs w:val="20"/>
              </w:rPr>
              <w:t xml:space="preserve">PIDG </w:t>
            </w:r>
            <w:r>
              <w:rPr>
                <w:sz w:val="20"/>
                <w:szCs w:val="20"/>
              </w:rPr>
              <w:t xml:space="preserve">TA to </w:t>
            </w:r>
            <w:r w:rsidRPr="00265199">
              <w:rPr>
                <w:sz w:val="20"/>
                <w:szCs w:val="20"/>
              </w:rPr>
              <w:t xml:space="preserve">become an effective part of the PIDG group and to build the business and create value for </w:t>
            </w:r>
            <w:r w:rsidR="00346BDB">
              <w:rPr>
                <w:sz w:val="20"/>
                <w:szCs w:val="20"/>
              </w:rPr>
              <w:t xml:space="preserve">PIDG </w:t>
            </w:r>
            <w:r w:rsidRPr="00265199">
              <w:rPr>
                <w:sz w:val="20"/>
                <w:szCs w:val="20"/>
              </w:rPr>
              <w:t>TA within the PIDG group and externally</w:t>
            </w:r>
            <w:r>
              <w:rPr>
                <w:sz w:val="20"/>
                <w:szCs w:val="20"/>
              </w:rPr>
              <w:t>.</w:t>
            </w:r>
          </w:p>
          <w:p w14:paraId="6A70ED73" w14:textId="77777777" w:rsidR="00B62436" w:rsidRPr="004C0C90" w:rsidRDefault="00B62436" w:rsidP="00B62436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Activities</w:t>
            </w:r>
          </w:p>
          <w:p w14:paraId="09523D9B" w14:textId="0D6C84F5" w:rsidR="00B62436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 w:rsidRPr="007B1607">
              <w:rPr>
                <w:sz w:val="20"/>
                <w:szCs w:val="20"/>
              </w:rPr>
              <w:t xml:space="preserve">Support in </w:t>
            </w:r>
            <w:r>
              <w:rPr>
                <w:sz w:val="20"/>
                <w:szCs w:val="20"/>
              </w:rPr>
              <w:t xml:space="preserve">implementing the </w:t>
            </w:r>
            <w:r w:rsidR="00346BDB">
              <w:rPr>
                <w:sz w:val="20"/>
                <w:szCs w:val="20"/>
              </w:rPr>
              <w:t xml:space="preserve">PIDG </w:t>
            </w:r>
            <w:r>
              <w:rPr>
                <w:sz w:val="20"/>
                <w:szCs w:val="20"/>
              </w:rPr>
              <w:t>TA business plan and strategy</w:t>
            </w:r>
            <w:r w:rsidRPr="007B1607">
              <w:rPr>
                <w:sz w:val="20"/>
                <w:szCs w:val="20"/>
              </w:rPr>
              <w:t>.</w:t>
            </w:r>
          </w:p>
          <w:p w14:paraId="58AA870F" w14:textId="38D7D9B5" w:rsidR="00B62436" w:rsidRPr="00B62436" w:rsidRDefault="00B62436" w:rsidP="001531C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</w:pPr>
            <w:r>
              <w:rPr>
                <w:sz w:val="20"/>
                <w:szCs w:val="20"/>
              </w:rPr>
              <w:t xml:space="preserve">Working with the </w:t>
            </w:r>
            <w:r w:rsidR="00942858">
              <w:rPr>
                <w:sz w:val="20"/>
                <w:szCs w:val="20"/>
              </w:rPr>
              <w:t>PIDG TA team</w:t>
            </w:r>
            <w:r>
              <w:rPr>
                <w:sz w:val="20"/>
                <w:szCs w:val="20"/>
              </w:rPr>
              <w:t xml:space="preserve"> to e</w:t>
            </w:r>
            <w:r w:rsidRPr="007B1607">
              <w:rPr>
                <w:sz w:val="20"/>
                <w:szCs w:val="20"/>
              </w:rPr>
              <w:t xml:space="preserve">nsure that the documentation provided to </w:t>
            </w:r>
            <w:r>
              <w:rPr>
                <w:sz w:val="20"/>
                <w:szCs w:val="20"/>
              </w:rPr>
              <w:t>PIDG Ltd</w:t>
            </w:r>
            <w:r w:rsidRPr="007B1607">
              <w:rPr>
                <w:sz w:val="20"/>
                <w:szCs w:val="20"/>
              </w:rPr>
              <w:t xml:space="preserve"> and its committees </w:t>
            </w:r>
            <w:r>
              <w:rPr>
                <w:sz w:val="20"/>
                <w:szCs w:val="20"/>
              </w:rPr>
              <w:t xml:space="preserve">and the Board </w:t>
            </w:r>
            <w:r w:rsidRPr="007B1607">
              <w:rPr>
                <w:sz w:val="20"/>
                <w:szCs w:val="20"/>
              </w:rPr>
              <w:t xml:space="preserve">is of a high standard that enables </w:t>
            </w:r>
            <w:r>
              <w:rPr>
                <w:sz w:val="20"/>
                <w:szCs w:val="20"/>
              </w:rPr>
              <w:t>PIDG Ltd (and the Board)</w:t>
            </w:r>
            <w:r w:rsidRPr="007B1607">
              <w:rPr>
                <w:sz w:val="20"/>
                <w:szCs w:val="20"/>
              </w:rPr>
              <w:t xml:space="preserve"> to make informed decisions in </w:t>
            </w:r>
            <w:r w:rsidR="00346BDB">
              <w:rPr>
                <w:sz w:val="20"/>
                <w:szCs w:val="20"/>
              </w:rPr>
              <w:t xml:space="preserve">PIDG </w:t>
            </w:r>
            <w:r>
              <w:rPr>
                <w:sz w:val="20"/>
                <w:szCs w:val="20"/>
              </w:rPr>
              <w:t xml:space="preserve">TA’s </w:t>
            </w:r>
            <w:r w:rsidRPr="007B1607">
              <w:rPr>
                <w:sz w:val="20"/>
                <w:szCs w:val="20"/>
              </w:rPr>
              <w:t>interests.</w:t>
            </w:r>
          </w:p>
          <w:p w14:paraId="210C3D3E" w14:textId="2ED0702F" w:rsidR="008B6105" w:rsidRPr="008B6105" w:rsidRDefault="00B62436" w:rsidP="001531C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</w:pPr>
            <w:r w:rsidRPr="007B1607">
              <w:rPr>
                <w:sz w:val="20"/>
                <w:szCs w:val="20"/>
              </w:rPr>
              <w:t xml:space="preserve">Ensure the integrity of all public disclosures by </w:t>
            </w:r>
            <w:r w:rsidR="00346BDB">
              <w:rPr>
                <w:sz w:val="20"/>
                <w:szCs w:val="20"/>
              </w:rPr>
              <w:t>PIDG T</w:t>
            </w:r>
            <w:r>
              <w:rPr>
                <w:sz w:val="20"/>
                <w:szCs w:val="20"/>
              </w:rPr>
              <w:t>A in accordance with PIDG policies and procedures</w:t>
            </w:r>
            <w:r w:rsidR="006F0A8E" w:rsidRPr="00B62436">
              <w:t>.</w:t>
            </w:r>
          </w:p>
          <w:p w14:paraId="6D96317D" w14:textId="77777777" w:rsidR="00BE4ADB" w:rsidRPr="00BE4ADB" w:rsidRDefault="00BE4ADB" w:rsidP="00BE4ADB">
            <w:pPr>
              <w:pStyle w:val="NormalWeb"/>
              <w:spacing w:before="0" w:beforeAutospacing="0" w:after="0" w:afterAutospacing="0"/>
              <w:ind w:left="714"/>
              <w:rPr>
                <w:rFonts w:asciiTheme="minorHAnsi" w:hAnsiTheme="minorHAnsi"/>
                <w:sz w:val="22"/>
                <w:szCs w:val="22"/>
              </w:rPr>
            </w:pPr>
          </w:p>
          <w:p w14:paraId="35F56A91" w14:textId="77777777" w:rsidR="00BE4ADB" w:rsidRPr="000F7DEC" w:rsidRDefault="00155FEA" w:rsidP="00BE4ADB">
            <w:pPr>
              <w:spacing w:after="0" w:line="240" w:lineRule="auto"/>
              <w:jc w:val="both"/>
              <w:rPr>
                <w:rFonts w:cstheme="minorHAnsi"/>
                <w:b/>
                <w:color w:val="212B4C"/>
                <w:lang w:eastAsia="ja-JP"/>
              </w:rPr>
            </w:pPr>
            <w:r w:rsidRPr="000F7DEC">
              <w:rPr>
                <w:rFonts w:cstheme="minorHAnsi"/>
                <w:b/>
                <w:color w:val="212B4C"/>
                <w:lang w:eastAsia="ja-JP"/>
              </w:rPr>
              <w:t>QUALIFICATIONS AND EDUCATION REQUIREMENTS</w:t>
            </w:r>
          </w:p>
          <w:p w14:paraId="230614B8" w14:textId="77777777" w:rsidR="00BE4ADB" w:rsidRDefault="00BE4ADB" w:rsidP="00BE4ADB">
            <w:pPr>
              <w:pStyle w:val="ListParagraph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lang w:eastAsia="ja-JP"/>
              </w:rPr>
            </w:pPr>
          </w:p>
          <w:p w14:paraId="3B559ABB" w14:textId="77777777" w:rsidR="00B62436" w:rsidRPr="007E7A1C" w:rsidRDefault="00B62436" w:rsidP="00B624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7A1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 required</w:t>
            </w:r>
          </w:p>
          <w:p w14:paraId="5E1DC123" w14:textId="77777777" w:rsidR="00B62436" w:rsidRPr="007E7A1C" w:rsidRDefault="00B62436" w:rsidP="00B624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74750" w14:textId="2A2DBEE6" w:rsidR="00B62436" w:rsidRDefault="0006604F" w:rsidP="00B62436">
            <w:pPr>
              <w:numPr>
                <w:ilvl w:val="0"/>
                <w:numId w:val="14"/>
              </w:numPr>
              <w:spacing w:after="0" w:line="240" w:lineRule="auto"/>
              <w:ind w:left="5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</w:t>
            </w:r>
            <w:r w:rsidR="00852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years</w:t>
            </w:r>
            <w:r w:rsidR="003D0BE9">
              <w:rPr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experience</w:t>
            </w:r>
            <w:r w:rsidR="00B62436">
              <w:rPr>
                <w:sz w:val="20"/>
                <w:szCs w:val="20"/>
              </w:rPr>
              <w:t xml:space="preserve"> in infrastructure finance in developing countries within Africa</w:t>
            </w:r>
            <w:r w:rsidR="00852D44">
              <w:rPr>
                <w:sz w:val="20"/>
                <w:szCs w:val="20"/>
              </w:rPr>
              <w:t>.</w:t>
            </w:r>
          </w:p>
          <w:p w14:paraId="7EC79B9B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E1AFB">
              <w:rPr>
                <w:sz w:val="20"/>
                <w:szCs w:val="20"/>
              </w:rPr>
              <w:t xml:space="preserve">xtensive knowledge of and experience with policy and financing issues related to public-private partnerships and private investment in infrastructure.  </w:t>
            </w:r>
          </w:p>
          <w:p w14:paraId="4AA97774" w14:textId="72A54BAE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lastRenderedPageBreak/>
              <w:t xml:space="preserve">Advanced university degree in </w:t>
            </w:r>
            <w:r w:rsidR="00D858C5">
              <w:rPr>
                <w:sz w:val="20"/>
                <w:szCs w:val="20"/>
              </w:rPr>
              <w:t>development</w:t>
            </w:r>
            <w:r w:rsidRPr="000E1AFB">
              <w:rPr>
                <w:sz w:val="20"/>
                <w:szCs w:val="20"/>
              </w:rPr>
              <w:t>, finance, economics or a related discipline.</w:t>
            </w:r>
          </w:p>
          <w:p w14:paraId="62587794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>Professional training in project finance, infrastructure project appraisal, or a related area.</w:t>
            </w:r>
          </w:p>
          <w:p w14:paraId="76F04BD1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>Demonstrated track record of working in strategic partnership with development community actors, including government officials of developing countries, donors, private sector and civil society groups.</w:t>
            </w:r>
          </w:p>
          <w:p w14:paraId="7B999612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>Strong interpersonal and management skills, and a demonstrated track record of working effectively in interdisciplinary teams in an international environment.</w:t>
            </w:r>
          </w:p>
          <w:p w14:paraId="4E1F2833" w14:textId="77777777" w:rsidR="00B62436" w:rsidRPr="000E1AFB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0E1AFB">
              <w:rPr>
                <w:sz w:val="20"/>
                <w:szCs w:val="20"/>
              </w:rPr>
              <w:t>Ability to communicate effectively (orally and in writing) with a diverse group of constituencies.</w:t>
            </w:r>
          </w:p>
          <w:p w14:paraId="1C560984" w14:textId="60FBD018" w:rsidR="00B62436" w:rsidRPr="000E1AFB" w:rsidRDefault="006F5FFC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Fluency in French would be </w:t>
            </w:r>
            <w:r w:rsidR="00C707D1">
              <w:rPr>
                <w:sz w:val="20"/>
                <w:szCs w:val="20"/>
              </w:rPr>
              <w:t>desirable</w:t>
            </w:r>
            <w:r>
              <w:rPr>
                <w:sz w:val="20"/>
                <w:szCs w:val="20"/>
              </w:rPr>
              <w:t>.</w:t>
            </w:r>
          </w:p>
          <w:p w14:paraId="2BB7D064" w14:textId="77777777" w:rsidR="00B62436" w:rsidRPr="007E7A1C" w:rsidRDefault="00B62436" w:rsidP="00B62436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Attributes</w:t>
            </w:r>
          </w:p>
          <w:p w14:paraId="45C25216" w14:textId="77777777" w:rsidR="00B62436" w:rsidRPr="007E7A1C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Adaptive: </w:t>
            </w:r>
            <w:r w:rsidRPr="007E7A1C">
              <w:rPr>
                <w:sz w:val="20"/>
                <w:szCs w:val="20"/>
              </w:rPr>
              <w:t>Able to draw on and apply previous experience and judgement to confidently shape solutions and lead teams into areas, that may be outside their current comfort zone.</w:t>
            </w:r>
          </w:p>
          <w:p w14:paraId="4AD3F3F4" w14:textId="77777777" w:rsidR="00B62436" w:rsidRPr="007E7A1C" w:rsidRDefault="00B62436" w:rsidP="00B6243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 w:rsidRPr="007E7A1C">
              <w:rPr>
                <w:sz w:val="20"/>
                <w:szCs w:val="20"/>
              </w:rPr>
              <w:t>Collaborative: Able to build strong, lasting relationships with a diverse mix of individuals, partners and businesses and to use these to share ideas and work collectively to resolve issues.</w:t>
            </w:r>
          </w:p>
          <w:p w14:paraId="4042A8F0" w14:textId="77777777" w:rsidR="00B62436" w:rsidRPr="002E79FE" w:rsidRDefault="00B62436" w:rsidP="00B624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576"/>
              </w:tabs>
              <w:spacing w:after="0" w:line="240" w:lineRule="auto"/>
              <w:ind w:left="573" w:hanging="284"/>
              <w:rPr>
                <w:sz w:val="20"/>
                <w:szCs w:val="20"/>
              </w:rPr>
            </w:pPr>
            <w:r w:rsidRPr="002E79FE">
              <w:rPr>
                <w:sz w:val="20"/>
                <w:szCs w:val="20"/>
              </w:rPr>
              <w:t>Innovative: Able to find creative solutions to issues as they arise and to patiently persevere and refine their approach until a resolution is found.</w:t>
            </w:r>
          </w:p>
          <w:p w14:paraId="5857DC19" w14:textId="77777777" w:rsidR="00E373E0" w:rsidRPr="00E373E0" w:rsidRDefault="00B62436" w:rsidP="00713402">
            <w:pPr>
              <w:numPr>
                <w:ilvl w:val="0"/>
                <w:numId w:val="14"/>
              </w:numPr>
              <w:tabs>
                <w:tab w:val="clear" w:pos="720"/>
                <w:tab w:val="num" w:pos="576"/>
              </w:tabs>
              <w:spacing w:after="0" w:line="240" w:lineRule="auto"/>
              <w:ind w:left="576" w:hanging="284"/>
              <w:rPr>
                <w:sz w:val="20"/>
                <w:szCs w:val="20"/>
              </w:rPr>
            </w:pPr>
            <w:r w:rsidRPr="007E7A1C">
              <w:rPr>
                <w:sz w:val="20"/>
                <w:szCs w:val="20"/>
              </w:rPr>
              <w:t xml:space="preserve">Integrity: Demonstrate the highest levels of professionalism in all that they do and act with integrity even when that means walking away from something that might be to their own advantage.  </w:t>
            </w:r>
          </w:p>
          <w:p w14:paraId="3DA38DEA" w14:textId="77777777" w:rsidR="00BE4ADB" w:rsidRPr="00E373E0" w:rsidRDefault="00BE4ADB" w:rsidP="00BE4ADB">
            <w:pPr>
              <w:spacing w:after="0" w:line="240" w:lineRule="auto"/>
              <w:rPr>
                <w:rFonts w:eastAsia="Times New Roman" w:cs="Times New Roman"/>
                <w:b/>
                <w:color w:val="212B4C"/>
                <w:lang w:eastAsia="en-GB"/>
              </w:rPr>
            </w:pPr>
          </w:p>
          <w:p w14:paraId="468813E3" w14:textId="77777777" w:rsidR="00155FEA" w:rsidRPr="000F7DEC" w:rsidRDefault="00BE4ADB" w:rsidP="000F7DEC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color w:val="225374"/>
                <w:sz w:val="22"/>
                <w:szCs w:val="22"/>
              </w:rPr>
            </w:pPr>
            <w:r w:rsidRPr="000F7DEC">
              <w:rPr>
                <w:rFonts w:cstheme="minorHAnsi"/>
                <w:color w:val="225374"/>
              </w:rPr>
              <w:t xml:space="preserve">PIDG is an equal opportunities employer and values the diversity of all its employees, associates, </w:t>
            </w:r>
            <w:r w:rsidR="00C02DA1" w:rsidRPr="000F7DEC">
              <w:rPr>
                <w:rFonts w:cstheme="minorHAnsi"/>
                <w:color w:val="225374"/>
              </w:rPr>
              <w:t>owners</w:t>
            </w:r>
            <w:r w:rsidRPr="000F7DEC">
              <w:rPr>
                <w:rFonts w:cstheme="minorHAnsi"/>
                <w:color w:val="225374"/>
              </w:rPr>
              <w:t>, service providers and customers</w:t>
            </w:r>
          </w:p>
          <w:p w14:paraId="6D6FC90C" w14:textId="77777777" w:rsidR="00155FEA" w:rsidRPr="00BE4ADB" w:rsidRDefault="00155FEA" w:rsidP="00BE4ADB">
            <w:pPr>
              <w:pStyle w:val="Heading2"/>
              <w:spacing w:before="0" w:after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7480CC8A" w14:textId="77777777" w:rsidR="00155FEA" w:rsidRPr="00BE4ADB" w:rsidRDefault="00865FF6" w:rsidP="00865FF6">
            <w:pPr>
              <w:pStyle w:val="Heading2"/>
              <w:tabs>
                <w:tab w:val="left" w:pos="1110"/>
              </w:tabs>
              <w:spacing w:before="0" w:after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</w:tbl>
    <w:p w14:paraId="37B2B056" w14:textId="77777777" w:rsidR="00386B11" w:rsidRDefault="00386B11"/>
    <w:sectPr w:rsidR="00386B11" w:rsidSect="00ED021C">
      <w:headerReference w:type="default" r:id="rId11"/>
      <w:headerReference w:type="first" r:id="rId12"/>
      <w:pgSz w:w="11906" w:h="16838"/>
      <w:pgMar w:top="1418" w:right="1440" w:bottom="851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D8E8" w14:textId="77777777" w:rsidR="00313244" w:rsidRDefault="00313244" w:rsidP="005F1573">
      <w:pPr>
        <w:spacing w:after="0" w:line="240" w:lineRule="auto"/>
      </w:pPr>
      <w:r>
        <w:separator/>
      </w:r>
    </w:p>
  </w:endnote>
  <w:endnote w:type="continuationSeparator" w:id="0">
    <w:p w14:paraId="77C690EC" w14:textId="77777777" w:rsidR="00313244" w:rsidRDefault="00313244" w:rsidP="005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9F66" w14:textId="77777777" w:rsidR="00313244" w:rsidRDefault="00313244" w:rsidP="005F1573">
      <w:pPr>
        <w:spacing w:after="0" w:line="240" w:lineRule="auto"/>
      </w:pPr>
      <w:r>
        <w:separator/>
      </w:r>
    </w:p>
  </w:footnote>
  <w:footnote w:type="continuationSeparator" w:id="0">
    <w:p w14:paraId="218617B0" w14:textId="77777777" w:rsidR="00313244" w:rsidRDefault="00313244" w:rsidP="005F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616E" w14:textId="77777777" w:rsidR="005F1573" w:rsidRDefault="002831E5" w:rsidP="000F7DEC">
    <w:pPr>
      <w:tabs>
        <w:tab w:val="left" w:pos="9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0C55" w14:textId="77777777" w:rsidR="002831E5" w:rsidRDefault="002831E5">
    <w:pPr>
      <w:pStyle w:val="Header"/>
    </w:pPr>
    <w:r>
      <w:rPr>
        <w:noProof/>
        <w:color w:val="225374"/>
        <w:sz w:val="16"/>
        <w:szCs w:val="16"/>
      </w:rPr>
      <w:drawing>
        <wp:anchor distT="0" distB="0" distL="114300" distR="114300" simplePos="0" relativeHeight="251661312" behindDoc="1" locked="0" layoutInCell="1" allowOverlap="1" wp14:anchorId="6AE34E0F" wp14:editId="2D368BEA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1973896" cy="845243"/>
          <wp:effectExtent l="0" t="0" r="7304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896" cy="845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6289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9E48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125B2"/>
    <w:multiLevelType w:val="hybridMultilevel"/>
    <w:tmpl w:val="46CE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483F"/>
    <w:multiLevelType w:val="multilevel"/>
    <w:tmpl w:val="AD1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E7ECA"/>
    <w:multiLevelType w:val="hybridMultilevel"/>
    <w:tmpl w:val="ACA240D2"/>
    <w:lvl w:ilvl="0" w:tplc="6CA2F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0195"/>
    <w:multiLevelType w:val="hybridMultilevel"/>
    <w:tmpl w:val="9F9A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5A7"/>
    <w:multiLevelType w:val="hybridMultilevel"/>
    <w:tmpl w:val="172C5B50"/>
    <w:lvl w:ilvl="0" w:tplc="6CA2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B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CE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2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E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40324C"/>
    <w:multiLevelType w:val="hybridMultilevel"/>
    <w:tmpl w:val="986A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760C"/>
    <w:multiLevelType w:val="hybridMultilevel"/>
    <w:tmpl w:val="13A8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2F8D"/>
    <w:multiLevelType w:val="multilevel"/>
    <w:tmpl w:val="D82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64D1C"/>
    <w:multiLevelType w:val="hybridMultilevel"/>
    <w:tmpl w:val="EDA2F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FEB"/>
    <w:multiLevelType w:val="hybridMultilevel"/>
    <w:tmpl w:val="FDBC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4ED6"/>
    <w:multiLevelType w:val="hybridMultilevel"/>
    <w:tmpl w:val="7AEC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6775"/>
    <w:multiLevelType w:val="hybridMultilevel"/>
    <w:tmpl w:val="DC88CDFE"/>
    <w:lvl w:ilvl="0" w:tplc="6CA2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22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CE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2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E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23066B"/>
    <w:multiLevelType w:val="hybridMultilevel"/>
    <w:tmpl w:val="B4A21F70"/>
    <w:lvl w:ilvl="0" w:tplc="6CA2FF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079AA"/>
    <w:multiLevelType w:val="multilevel"/>
    <w:tmpl w:val="60E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C7405"/>
    <w:multiLevelType w:val="hybridMultilevel"/>
    <w:tmpl w:val="60F050B8"/>
    <w:lvl w:ilvl="0" w:tplc="6CA2F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1AAA"/>
    <w:multiLevelType w:val="hybridMultilevel"/>
    <w:tmpl w:val="5E70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E7309"/>
    <w:multiLevelType w:val="hybridMultilevel"/>
    <w:tmpl w:val="59323AE6"/>
    <w:lvl w:ilvl="0" w:tplc="929E5F2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16267D"/>
    <w:multiLevelType w:val="hybridMultilevel"/>
    <w:tmpl w:val="735C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2"/>
  </w:num>
  <w:num w:numId="6">
    <w:abstractNumId w:val="19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43"/>
    <w:rsid w:val="00015EBF"/>
    <w:rsid w:val="00016868"/>
    <w:rsid w:val="00026404"/>
    <w:rsid w:val="0006604F"/>
    <w:rsid w:val="00076A1A"/>
    <w:rsid w:val="000F7DEC"/>
    <w:rsid w:val="001531C2"/>
    <w:rsid w:val="00155FEA"/>
    <w:rsid w:val="001F4BB9"/>
    <w:rsid w:val="00237860"/>
    <w:rsid w:val="0027544D"/>
    <w:rsid w:val="002831E5"/>
    <w:rsid w:val="002E5A05"/>
    <w:rsid w:val="002E5DE9"/>
    <w:rsid w:val="00303F16"/>
    <w:rsid w:val="00313244"/>
    <w:rsid w:val="00346BDB"/>
    <w:rsid w:val="00377513"/>
    <w:rsid w:val="00386B11"/>
    <w:rsid w:val="00391A83"/>
    <w:rsid w:val="00394A88"/>
    <w:rsid w:val="003B1E8A"/>
    <w:rsid w:val="003C19C4"/>
    <w:rsid w:val="003C5084"/>
    <w:rsid w:val="003D0BE9"/>
    <w:rsid w:val="003F726E"/>
    <w:rsid w:val="0044763C"/>
    <w:rsid w:val="004542D4"/>
    <w:rsid w:val="00474BBD"/>
    <w:rsid w:val="004973A3"/>
    <w:rsid w:val="004A6D5E"/>
    <w:rsid w:val="004E738D"/>
    <w:rsid w:val="004F0963"/>
    <w:rsid w:val="00536B32"/>
    <w:rsid w:val="00554A84"/>
    <w:rsid w:val="005D5443"/>
    <w:rsid w:val="005F1573"/>
    <w:rsid w:val="00646948"/>
    <w:rsid w:val="00686143"/>
    <w:rsid w:val="006B28FF"/>
    <w:rsid w:val="006D2152"/>
    <w:rsid w:val="006F0A8E"/>
    <w:rsid w:val="006F5FFC"/>
    <w:rsid w:val="00713402"/>
    <w:rsid w:val="00714A9C"/>
    <w:rsid w:val="0075087D"/>
    <w:rsid w:val="00772468"/>
    <w:rsid w:val="007A3456"/>
    <w:rsid w:val="007C5988"/>
    <w:rsid w:val="007E2A86"/>
    <w:rsid w:val="007F31BB"/>
    <w:rsid w:val="007F37A4"/>
    <w:rsid w:val="007F47D0"/>
    <w:rsid w:val="00852D44"/>
    <w:rsid w:val="008648AC"/>
    <w:rsid w:val="00865FF6"/>
    <w:rsid w:val="008A6B64"/>
    <w:rsid w:val="008B6105"/>
    <w:rsid w:val="008B6C74"/>
    <w:rsid w:val="008C3474"/>
    <w:rsid w:val="008C402A"/>
    <w:rsid w:val="008D7AB1"/>
    <w:rsid w:val="008E0D46"/>
    <w:rsid w:val="009033E9"/>
    <w:rsid w:val="00934813"/>
    <w:rsid w:val="00942858"/>
    <w:rsid w:val="00A15720"/>
    <w:rsid w:val="00AB1B63"/>
    <w:rsid w:val="00B147F8"/>
    <w:rsid w:val="00B14ADB"/>
    <w:rsid w:val="00B15118"/>
    <w:rsid w:val="00B27057"/>
    <w:rsid w:val="00B30732"/>
    <w:rsid w:val="00B62436"/>
    <w:rsid w:val="00BB1BA5"/>
    <w:rsid w:val="00BB254A"/>
    <w:rsid w:val="00BE4ADB"/>
    <w:rsid w:val="00C02DA1"/>
    <w:rsid w:val="00C12736"/>
    <w:rsid w:val="00C21247"/>
    <w:rsid w:val="00C23C7E"/>
    <w:rsid w:val="00C318D8"/>
    <w:rsid w:val="00C4729F"/>
    <w:rsid w:val="00C707D1"/>
    <w:rsid w:val="00C83EBE"/>
    <w:rsid w:val="00D32888"/>
    <w:rsid w:val="00D6315E"/>
    <w:rsid w:val="00D7294D"/>
    <w:rsid w:val="00D858C5"/>
    <w:rsid w:val="00D9698A"/>
    <w:rsid w:val="00DB04A4"/>
    <w:rsid w:val="00DD05CF"/>
    <w:rsid w:val="00E27E5C"/>
    <w:rsid w:val="00E35A8A"/>
    <w:rsid w:val="00E373E0"/>
    <w:rsid w:val="00E678AF"/>
    <w:rsid w:val="00E75DB0"/>
    <w:rsid w:val="00EA2A4A"/>
    <w:rsid w:val="00ED021C"/>
    <w:rsid w:val="00ED3BED"/>
    <w:rsid w:val="00ED3CD7"/>
    <w:rsid w:val="00ED5515"/>
    <w:rsid w:val="00F17BBC"/>
    <w:rsid w:val="00F64568"/>
    <w:rsid w:val="00FA014F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76DA2"/>
  <w15:chartTrackingRefBased/>
  <w15:docId w15:val="{20004867-9A95-44DC-B31A-67BAF3F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BBD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474BBD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73"/>
  </w:style>
  <w:style w:type="paragraph" w:styleId="Footer">
    <w:name w:val="footer"/>
    <w:basedOn w:val="Normal"/>
    <w:link w:val="FooterChar"/>
    <w:uiPriority w:val="99"/>
    <w:unhideWhenUsed/>
    <w:rsid w:val="005F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73"/>
  </w:style>
  <w:style w:type="paragraph" w:styleId="NormalWeb">
    <w:name w:val="Normal (Web)"/>
    <w:basedOn w:val="Normal"/>
    <w:unhideWhenUsed/>
    <w:rsid w:val="00303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BBD"/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4BBD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ListNumber">
    <w:name w:val="List Number"/>
    <w:basedOn w:val="Normal"/>
    <w:uiPriority w:val="10"/>
    <w:rsid w:val="00474BBD"/>
    <w:pPr>
      <w:numPr>
        <w:numId w:val="1"/>
      </w:numPr>
      <w:spacing w:before="30" w:after="30" w:line="240" w:lineRule="auto"/>
    </w:pPr>
    <w:rPr>
      <w:rFonts w:eastAsiaTheme="minorEastAsia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74B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10"/>
    <w:unhideWhenUsed/>
    <w:rsid w:val="003B1E8A"/>
    <w:pPr>
      <w:numPr>
        <w:numId w:val="18"/>
      </w:numPr>
      <w:spacing w:before="30" w:after="3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ecmsolistparagraph">
    <w:name w:val="ec_msolistparagraph"/>
    <w:basedOn w:val="Normal"/>
    <w:rsid w:val="00B62436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98CF49F0034C459CEAB780C5EE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D3DC-9171-4A07-B35E-947C2EF07E41}"/>
      </w:docPartPr>
      <w:docPartBody>
        <w:p w:rsidR="00B20B38" w:rsidRDefault="00C1040A" w:rsidP="00C1040A">
          <w:pPr>
            <w:pStyle w:val="EC98CF49F0034C459CEAB780C5EE0A69"/>
          </w:pPr>
          <w:r>
            <w:t>Location</w:t>
          </w:r>
        </w:p>
      </w:docPartBody>
    </w:docPart>
    <w:docPart>
      <w:docPartPr>
        <w:name w:val="E96402D627814F448362429A2391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3A92-EDC1-4CCB-A593-21A00A133A6E}"/>
      </w:docPartPr>
      <w:docPartBody>
        <w:p w:rsidR="00B20B38" w:rsidRDefault="00C1040A" w:rsidP="00C1040A">
          <w:pPr>
            <w:pStyle w:val="E96402D627814F448362429A2391684A"/>
          </w:pPr>
          <w:r>
            <w:t>Travel Required</w:t>
          </w:r>
        </w:p>
      </w:docPartBody>
    </w:docPart>
    <w:docPart>
      <w:docPartPr>
        <w:name w:val="9D81113B42F749D394C8AADE2A24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D936-A3C3-4C1E-9BEB-6F15301E58C1}"/>
      </w:docPartPr>
      <w:docPartBody>
        <w:p w:rsidR="00B20B38" w:rsidRDefault="00C1040A" w:rsidP="00C1040A">
          <w:pPr>
            <w:pStyle w:val="9D81113B42F749D394C8AADE2A24B07D"/>
          </w:pPr>
          <w:r>
            <w:t>Position Type</w:t>
          </w:r>
        </w:p>
      </w:docPartBody>
    </w:docPart>
    <w:docPart>
      <w:docPartPr>
        <w:name w:val="1FEE9F67A7B0441BA60F549460E5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C3E3-76D3-4537-AC85-0B0B345D44F4}"/>
      </w:docPartPr>
      <w:docPartBody>
        <w:p w:rsidR="00B20B38" w:rsidRDefault="00C1040A" w:rsidP="00C1040A">
          <w:pPr>
            <w:pStyle w:val="1FEE9F67A7B0441BA60F549460E5918A"/>
          </w:pPr>
          <w:r>
            <w:t>Position Type (i.e.: full-time, part-time, job share, contract, intern)</w:t>
          </w:r>
        </w:p>
      </w:docPartBody>
    </w:docPart>
    <w:docPart>
      <w:docPartPr>
        <w:name w:val="9EFD97E5D09C4F8597FDE9B3DA67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63B5-1062-46F6-8FE5-DCDE6430D711}"/>
      </w:docPartPr>
      <w:docPartBody>
        <w:p w:rsidR="00B20B38" w:rsidRDefault="00C1040A" w:rsidP="00C1040A">
          <w:pPr>
            <w:pStyle w:val="9EFD97E5D09C4F8597FDE9B3DA6763AF"/>
          </w:pPr>
          <w:r>
            <w:t>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0A"/>
    <w:rsid w:val="00000A74"/>
    <w:rsid w:val="0002309D"/>
    <w:rsid w:val="005B4BF8"/>
    <w:rsid w:val="00606EAE"/>
    <w:rsid w:val="006474E1"/>
    <w:rsid w:val="00647618"/>
    <w:rsid w:val="007E3646"/>
    <w:rsid w:val="00B20B38"/>
    <w:rsid w:val="00B23AD0"/>
    <w:rsid w:val="00BF444A"/>
    <w:rsid w:val="00C1040A"/>
    <w:rsid w:val="00CD10E6"/>
    <w:rsid w:val="00D32944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8CF49F0034C459CEAB780C5EE0A69">
    <w:name w:val="EC98CF49F0034C459CEAB780C5EE0A69"/>
    <w:rsid w:val="00C1040A"/>
  </w:style>
  <w:style w:type="paragraph" w:customStyle="1" w:styleId="E96402D627814F448362429A2391684A">
    <w:name w:val="E96402D627814F448362429A2391684A"/>
    <w:rsid w:val="00C1040A"/>
  </w:style>
  <w:style w:type="paragraph" w:customStyle="1" w:styleId="9D81113B42F749D394C8AADE2A24B07D">
    <w:name w:val="9D81113B42F749D394C8AADE2A24B07D"/>
    <w:rsid w:val="00C1040A"/>
  </w:style>
  <w:style w:type="paragraph" w:customStyle="1" w:styleId="1FEE9F67A7B0441BA60F549460E5918A">
    <w:name w:val="1FEE9F67A7B0441BA60F549460E5918A"/>
    <w:rsid w:val="00C1040A"/>
  </w:style>
  <w:style w:type="paragraph" w:customStyle="1" w:styleId="9EFD97E5D09C4F8597FDE9B3DA6763AF">
    <w:name w:val="9EFD97E5D09C4F8597FDE9B3DA6763AF"/>
    <w:rsid w:val="00C1040A"/>
  </w:style>
  <w:style w:type="paragraph" w:customStyle="1" w:styleId="CA53EC5CBBB5498AA2875B461F9DD4AD">
    <w:name w:val="CA53EC5CBBB5498AA2875B461F9DD4AD"/>
    <w:rsid w:val="00C1040A"/>
  </w:style>
  <w:style w:type="paragraph" w:customStyle="1" w:styleId="777269F80D7346D487C963D147B5649B">
    <w:name w:val="777269F80D7346D487C963D147B5649B"/>
    <w:rsid w:val="00C10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31A95613142479DFC6E264F8A0A97" ma:contentTypeVersion="10" ma:contentTypeDescription="Create a new document." ma:contentTypeScope="" ma:versionID="b7ebe4be9afc292255b9c02d5ed2741b">
  <xsd:schema xmlns:xsd="http://www.w3.org/2001/XMLSchema" xmlns:xs="http://www.w3.org/2001/XMLSchema" xmlns:p="http://schemas.microsoft.com/office/2006/metadata/properties" xmlns:ns2="bf754f5f-c827-4699-890f-1cc4fffa9440" xmlns:ns3="a4f10fd3-e76e-487e-93e5-f48b4b2c22ff" targetNamespace="http://schemas.microsoft.com/office/2006/metadata/properties" ma:root="true" ma:fieldsID="e02a05158fab71b7403ee905280c432e" ns2:_="" ns3:_="">
    <xsd:import namespace="bf754f5f-c827-4699-890f-1cc4fffa9440"/>
    <xsd:import namespace="a4f10fd3-e76e-487e-93e5-f48b4b2c22ff"/>
    <xsd:element name="properties">
      <xsd:complexType>
        <xsd:sequence>
          <xsd:element name="documentManagement">
            <xsd:complexType>
              <xsd:all>
                <xsd:element ref="ns2:Document_x0020_Created_x0020_By" minOccurs="0"/>
                <xsd:element ref="ns2:Document_x0020_Modified_x0020_B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54f5f-c827-4699-890f-1cc4fffa9440" elementFormDefault="qualified">
    <xsd:import namespace="http://schemas.microsoft.com/office/2006/documentManagement/types"/>
    <xsd:import namespace="http://schemas.microsoft.com/office/infopath/2007/PartnerControls"/>
    <xsd:element name="Document_x0020_Created_x0020_By" ma:index="8" nillable="true" ma:displayName="Document Created By" ma:internalName="Document_x0020_Created_x0020_By">
      <xsd:simpleType>
        <xsd:restriction base="dms:Text">
          <xsd:maxLength value="255"/>
        </xsd:restriction>
      </xsd:simpleType>
    </xsd:element>
    <xsd:element name="Document_x0020_Modified_x0020_By" ma:index="9" nillable="true" ma:displayName="Document Modified By" ma:internalName="Document_x0020_Modified_x0020_By">
      <xsd:simpleType>
        <xsd:restriction base="dms:Text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0fd3-e76e-487e-93e5-f48b4b2c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reated_x0020_By xmlns="bf754f5f-c827-4699-890f-1cc4fffa9440" xsi:nil="true"/>
    <Document_x0020_Modified_x0020_By xmlns="bf754f5f-c827-4699-890f-1cc4fffa94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7C3B-72F0-4BD2-9972-79D0D19F3082}"/>
</file>

<file path=customXml/itemProps2.xml><?xml version="1.0" encoding="utf-8"?>
<ds:datastoreItem xmlns:ds="http://schemas.openxmlformats.org/officeDocument/2006/customXml" ds:itemID="{0FBD30D3-EC88-4774-B5C4-3B599660A2A7}">
  <ds:schemaRefs>
    <ds:schemaRef ds:uri="http://schemas.microsoft.com/office/2006/metadata/properties"/>
    <ds:schemaRef ds:uri="http://schemas.microsoft.com/office/infopath/2007/PartnerControls"/>
    <ds:schemaRef ds:uri="bf754f5f-c827-4699-890f-1cc4fffa9440"/>
  </ds:schemaRefs>
</ds:datastoreItem>
</file>

<file path=customXml/itemProps3.xml><?xml version="1.0" encoding="utf-8"?>
<ds:datastoreItem xmlns:ds="http://schemas.openxmlformats.org/officeDocument/2006/customXml" ds:itemID="{A18D9628-302F-472F-947C-81C05EE1E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6F768-1F62-4255-A50E-23FE86A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Menzel</dc:creator>
  <cp:keywords/>
  <dc:description/>
  <cp:lastModifiedBy>Luke Foley</cp:lastModifiedBy>
  <cp:revision>4</cp:revision>
  <cp:lastPrinted>2018-06-07T07:19:00Z</cp:lastPrinted>
  <dcterms:created xsi:type="dcterms:W3CDTF">2020-01-17T15:05:00Z</dcterms:created>
  <dcterms:modified xsi:type="dcterms:W3CDTF">2020-01-22T15:04:00Z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0x010100FB631A95613142479DFC6E264F8A0A97</vt:lpwstr>
  </property>
  <property fmtid="{D5CDD505-2E9C-101B-9397-08002B2CF9AE}" pid="3" name="Order">
    <vt:r8>603800</vt:r8>
  </property>
</Properties>
</file>